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4B688" w14:textId="3FF918CA" w:rsidR="009521A8" w:rsidRDefault="009521A8" w:rsidP="00F92B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521A8">
        <w:rPr>
          <w:rFonts w:ascii="Arial" w:hAnsi="Arial" w:cs="Arial"/>
          <w:bCs/>
          <w:spacing w:val="-3"/>
          <w:sz w:val="22"/>
          <w:szCs w:val="22"/>
        </w:rPr>
        <w:t>In May 2021, an independent review of the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Industrial Relations Act 2016 </w:t>
      </w:r>
      <w:r>
        <w:rPr>
          <w:rFonts w:ascii="Arial" w:hAnsi="Arial" w:cs="Arial"/>
          <w:bCs/>
          <w:spacing w:val="-3"/>
          <w:sz w:val="22"/>
          <w:szCs w:val="22"/>
        </w:rPr>
        <w:t>(</w:t>
      </w:r>
      <w:r w:rsidRPr="009521A8">
        <w:rPr>
          <w:rFonts w:ascii="Arial" w:hAnsi="Arial" w:cs="Arial"/>
          <w:bCs/>
          <w:spacing w:val="-3"/>
          <w:sz w:val="22"/>
          <w:szCs w:val="22"/>
        </w:rPr>
        <w:t>IR Act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  <w:r w:rsidRPr="009521A8">
        <w:rPr>
          <w:rFonts w:ascii="Arial" w:hAnsi="Arial" w:cs="Arial"/>
          <w:bCs/>
          <w:spacing w:val="-3"/>
          <w:sz w:val="22"/>
          <w:szCs w:val="22"/>
        </w:rPr>
        <w:t xml:space="preserve"> was announced by Honourable Anastasia Palaszczuk, Premier and Minister for the Olympics, and the Honourable Grace Grace, Minister for Education, Minister for Industrial Relations and Minister for Racing.</w:t>
      </w:r>
    </w:p>
    <w:p w14:paraId="141EA8D3" w14:textId="0CD694D8" w:rsidR="00FA45B6" w:rsidRDefault="00FA45B6" w:rsidP="00F92B8B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In late June 2021 the two independent reviewers, </w:t>
      </w:r>
      <w:r w:rsidR="0004159E">
        <w:rPr>
          <w:rFonts w:ascii="Arial" w:hAnsi="Arial" w:cs="Arial"/>
          <w:bCs/>
          <w:spacing w:val="-3"/>
          <w:sz w:val="22"/>
          <w:szCs w:val="22"/>
        </w:rPr>
        <w:t xml:space="preserve">Mr </w:t>
      </w:r>
      <w:r w:rsidRPr="009E44E6">
        <w:rPr>
          <w:rFonts w:ascii="Arial" w:hAnsi="Arial" w:cs="Arial"/>
          <w:bCs/>
          <w:spacing w:val="-3"/>
          <w:sz w:val="22"/>
          <w:szCs w:val="22"/>
        </w:rPr>
        <w:t xml:space="preserve">John Thompson and </w:t>
      </w:r>
      <w:r w:rsidR="0004159E">
        <w:rPr>
          <w:rFonts w:ascii="Arial" w:hAnsi="Arial" w:cs="Arial"/>
          <w:bCs/>
          <w:spacing w:val="-3"/>
          <w:sz w:val="22"/>
          <w:szCs w:val="22"/>
        </w:rPr>
        <w:t xml:space="preserve">Ms </w:t>
      </w:r>
      <w:r w:rsidRPr="009E44E6">
        <w:rPr>
          <w:rFonts w:ascii="Arial" w:hAnsi="Arial" w:cs="Arial"/>
          <w:bCs/>
          <w:spacing w:val="-3"/>
          <w:sz w:val="22"/>
          <w:szCs w:val="22"/>
        </w:rPr>
        <w:t>Linda Lavarch</w:t>
      </w:r>
      <w:r>
        <w:rPr>
          <w:rFonts w:ascii="Arial" w:hAnsi="Arial" w:cs="Arial"/>
          <w:bCs/>
          <w:spacing w:val="-3"/>
          <w:sz w:val="22"/>
          <w:szCs w:val="22"/>
        </w:rPr>
        <w:t>, commenced the review</w:t>
      </w:r>
      <w:r w:rsidR="00375F10">
        <w:rPr>
          <w:rFonts w:ascii="Arial" w:hAnsi="Arial" w:cs="Arial"/>
          <w:bCs/>
          <w:spacing w:val="-3"/>
          <w:sz w:val="22"/>
          <w:szCs w:val="22"/>
        </w:rPr>
        <w:t>. O</w:t>
      </w:r>
      <w:r>
        <w:rPr>
          <w:rFonts w:ascii="Arial" w:hAnsi="Arial" w:cs="Arial"/>
          <w:bCs/>
          <w:spacing w:val="-3"/>
          <w:sz w:val="22"/>
          <w:szCs w:val="22"/>
        </w:rPr>
        <w:t>n 25 October 2021</w:t>
      </w:r>
      <w:r w:rsidR="0004159E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reviewers</w:t>
      </w:r>
      <w:r w:rsidR="00375F10">
        <w:rPr>
          <w:rFonts w:ascii="Arial" w:hAnsi="Arial" w:cs="Arial"/>
          <w:bCs/>
          <w:spacing w:val="-3"/>
          <w:sz w:val="22"/>
          <w:szCs w:val="22"/>
        </w:rPr>
        <w:t xml:space="preserve"> provided th</w:t>
      </w:r>
      <w:r w:rsidR="00956D2D">
        <w:rPr>
          <w:rFonts w:ascii="Arial" w:hAnsi="Arial" w:cs="Arial"/>
          <w:bCs/>
          <w:spacing w:val="-3"/>
          <w:sz w:val="22"/>
          <w:szCs w:val="22"/>
        </w:rPr>
        <w:t xml:space="preserve">eir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report, the </w:t>
      </w:r>
      <w:r w:rsidRPr="009E44E6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Five-Year Review of Queensland’s </w:t>
      </w:r>
      <w:bookmarkStart w:id="0" w:name="_Hlk106183094"/>
      <w:r w:rsidRPr="009E44E6">
        <w:rPr>
          <w:rFonts w:ascii="Arial" w:hAnsi="Arial" w:cs="Arial"/>
          <w:bCs/>
          <w:i/>
          <w:iCs/>
          <w:spacing w:val="-3"/>
          <w:sz w:val="22"/>
          <w:szCs w:val="22"/>
        </w:rPr>
        <w:t>Industrial Relations Act 2016</w:t>
      </w:r>
      <w:bookmarkEnd w:id="0"/>
      <w:r w:rsidRPr="009E44E6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– Final Report</w:t>
      </w:r>
      <w:r w:rsidR="00EF5828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</w:t>
      </w:r>
      <w:r w:rsidR="00EF5828">
        <w:rPr>
          <w:rFonts w:ascii="Arial" w:hAnsi="Arial" w:cs="Arial"/>
          <w:bCs/>
          <w:spacing w:val="-3"/>
          <w:sz w:val="22"/>
          <w:szCs w:val="22"/>
        </w:rPr>
        <w:t>(the Review Report)</w:t>
      </w:r>
      <w:r w:rsidRPr="009E44E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to Minister Grace.</w:t>
      </w:r>
    </w:p>
    <w:p w14:paraId="2B42858F" w14:textId="1F18E7EE" w:rsidR="00956D2D" w:rsidRDefault="00EF5828" w:rsidP="00F92B8B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733D4">
        <w:rPr>
          <w:rFonts w:ascii="Arial" w:hAnsi="Arial" w:cs="Arial"/>
          <w:bCs/>
          <w:spacing w:val="-3"/>
          <w:sz w:val="22"/>
          <w:szCs w:val="22"/>
        </w:rPr>
        <w:t xml:space="preserve">The Review Report makes 40 recommendations </w:t>
      </w:r>
      <w:r>
        <w:rPr>
          <w:rFonts w:ascii="Arial" w:hAnsi="Arial" w:cs="Arial"/>
          <w:bCs/>
          <w:spacing w:val="-3"/>
          <w:sz w:val="22"/>
          <w:szCs w:val="22"/>
        </w:rPr>
        <w:t>which focus</w:t>
      </w:r>
      <w:r w:rsidRPr="00D733D4">
        <w:rPr>
          <w:rFonts w:ascii="Arial" w:hAnsi="Arial" w:cs="Arial"/>
          <w:bCs/>
          <w:spacing w:val="-3"/>
          <w:sz w:val="22"/>
          <w:szCs w:val="22"/>
        </w:rPr>
        <w:t xml:space="preserve"> on </w:t>
      </w:r>
      <w:r w:rsidR="00CD47ED">
        <w:rPr>
          <w:rFonts w:ascii="Arial" w:hAnsi="Arial" w:cs="Arial"/>
          <w:bCs/>
          <w:spacing w:val="-3"/>
          <w:sz w:val="22"/>
          <w:szCs w:val="22"/>
        </w:rPr>
        <w:t xml:space="preserve">improving protections for sexual harassment and sex and gender-based harassment, ensuring the integrity and effective operation of </w:t>
      </w:r>
      <w:r w:rsidRPr="00D733D4">
        <w:rPr>
          <w:rFonts w:ascii="Arial" w:hAnsi="Arial" w:cs="Arial"/>
          <w:bCs/>
          <w:spacing w:val="-3"/>
          <w:sz w:val="22"/>
          <w:szCs w:val="22"/>
        </w:rPr>
        <w:t>registered organisations</w:t>
      </w:r>
      <w:r w:rsidR="00CD47ED">
        <w:rPr>
          <w:rFonts w:ascii="Arial" w:hAnsi="Arial" w:cs="Arial"/>
          <w:bCs/>
          <w:spacing w:val="-3"/>
          <w:sz w:val="22"/>
          <w:szCs w:val="22"/>
        </w:rPr>
        <w:t xml:space="preserve"> in Queensland’s industrial relations system, and updating</w:t>
      </w:r>
      <w:r w:rsidRPr="00D733D4">
        <w:rPr>
          <w:rFonts w:ascii="Arial" w:hAnsi="Arial" w:cs="Arial"/>
          <w:bCs/>
          <w:spacing w:val="-3"/>
          <w:sz w:val="22"/>
          <w:szCs w:val="22"/>
        </w:rPr>
        <w:t xml:space="preserve"> minimum standards, apprentices, job security and collective bargaining to better reflect </w:t>
      </w:r>
      <w:r w:rsidR="00CD47ED">
        <w:rPr>
          <w:rFonts w:ascii="Arial" w:hAnsi="Arial" w:cs="Arial"/>
          <w:bCs/>
          <w:spacing w:val="-3"/>
          <w:sz w:val="22"/>
          <w:szCs w:val="22"/>
        </w:rPr>
        <w:t xml:space="preserve">prevailing standards and </w:t>
      </w:r>
      <w:r w:rsidRPr="00D733D4">
        <w:rPr>
          <w:rFonts w:ascii="Arial" w:hAnsi="Arial" w:cs="Arial"/>
          <w:bCs/>
          <w:spacing w:val="-3"/>
          <w:sz w:val="22"/>
          <w:szCs w:val="22"/>
        </w:rPr>
        <w:t xml:space="preserve">evolving community </w:t>
      </w:r>
      <w:r w:rsidR="00CD47ED">
        <w:rPr>
          <w:rFonts w:ascii="Arial" w:hAnsi="Arial" w:cs="Arial"/>
          <w:bCs/>
          <w:spacing w:val="-3"/>
          <w:sz w:val="22"/>
          <w:szCs w:val="22"/>
        </w:rPr>
        <w:t xml:space="preserve">expectations.  </w:t>
      </w:r>
    </w:p>
    <w:p w14:paraId="360C58E7" w14:textId="31B2537C" w:rsidR="0004159E" w:rsidRPr="0004159E" w:rsidRDefault="0004159E" w:rsidP="00F92B8B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36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Government</w:t>
      </w:r>
      <w:r w:rsidR="00D1125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012AD">
        <w:rPr>
          <w:rFonts w:ascii="Arial" w:hAnsi="Arial" w:cs="Arial"/>
          <w:bCs/>
          <w:spacing w:val="-3"/>
          <w:sz w:val="22"/>
          <w:szCs w:val="22"/>
        </w:rPr>
        <w:t>accepted</w:t>
      </w:r>
      <w:r w:rsidR="00D1125C">
        <w:rPr>
          <w:rFonts w:ascii="Arial" w:hAnsi="Arial" w:cs="Arial"/>
          <w:bCs/>
          <w:spacing w:val="-3"/>
          <w:sz w:val="22"/>
          <w:szCs w:val="22"/>
        </w:rPr>
        <w:t xml:space="preserve"> 36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of the Review Report’s recommendations </w:t>
      </w:r>
      <w:r w:rsidR="00D1125C">
        <w:rPr>
          <w:rFonts w:ascii="Arial" w:hAnsi="Arial" w:cs="Arial"/>
          <w:bCs/>
          <w:spacing w:val="-3"/>
          <w:sz w:val="22"/>
          <w:szCs w:val="22"/>
        </w:rPr>
        <w:t>in full and four</w:t>
      </w:r>
      <w:r w:rsidR="00D012A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br/>
      </w:r>
      <w:r w:rsidR="00CD47ED">
        <w:rPr>
          <w:rFonts w:ascii="Arial" w:hAnsi="Arial" w:cs="Arial"/>
          <w:bCs/>
          <w:spacing w:val="-3"/>
          <w:sz w:val="22"/>
          <w:szCs w:val="22"/>
        </w:rPr>
        <w:t>in</w:t>
      </w:r>
      <w:r>
        <w:rPr>
          <w:rFonts w:ascii="Arial" w:hAnsi="Arial" w:cs="Arial"/>
          <w:bCs/>
          <w:spacing w:val="-3"/>
          <w:sz w:val="22"/>
          <w:szCs w:val="22"/>
        </w:rPr>
        <w:t>-</w:t>
      </w:r>
      <w:r w:rsidR="00CD47ED">
        <w:rPr>
          <w:rFonts w:ascii="Arial" w:hAnsi="Arial" w:cs="Arial"/>
          <w:bCs/>
          <w:spacing w:val="-3"/>
          <w:sz w:val="22"/>
          <w:szCs w:val="22"/>
        </w:rPr>
        <w:t>principle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of which </w:t>
      </w:r>
      <w:r w:rsidR="00CD47ED">
        <w:rPr>
          <w:rFonts w:ascii="Arial" w:hAnsi="Arial" w:cs="Arial"/>
          <w:bCs/>
          <w:spacing w:val="-3"/>
          <w:sz w:val="22"/>
          <w:szCs w:val="22"/>
        </w:rPr>
        <w:t xml:space="preserve">31 are for legislative amendment </w:t>
      </w:r>
      <w:r w:rsidR="007A309B">
        <w:rPr>
          <w:rFonts w:ascii="Arial" w:hAnsi="Arial" w:cs="Arial"/>
          <w:bCs/>
          <w:spacing w:val="-3"/>
          <w:sz w:val="22"/>
          <w:szCs w:val="22"/>
        </w:rPr>
        <w:t>in the first instance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7A309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012AD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547304CC" w14:textId="160280AC" w:rsidR="00615ACE" w:rsidRPr="00615ACE" w:rsidRDefault="00F92B8B" w:rsidP="00F92B8B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60"/>
        <w:ind w:left="36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AC1D71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="0004159E" w:rsidRPr="0004159E">
        <w:rPr>
          <w:rFonts w:ascii="Arial" w:hAnsi="Arial" w:cs="Arial"/>
          <w:bCs/>
          <w:spacing w:val="-3"/>
          <w:sz w:val="22"/>
          <w:szCs w:val="22"/>
        </w:rPr>
        <w:t>Industrial Relations and Other Legislation Amendment Bill 2022</w:t>
      </w:r>
      <w:r w:rsidR="0004159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15ACE">
        <w:rPr>
          <w:rFonts w:ascii="Arial" w:hAnsi="Arial" w:cs="Arial"/>
          <w:bCs/>
          <w:spacing w:val="-3"/>
          <w:sz w:val="22"/>
          <w:szCs w:val="22"/>
        </w:rPr>
        <w:t xml:space="preserve">(the Bill) </w:t>
      </w:r>
      <w:r w:rsidR="00B94B69" w:rsidRPr="009A50DB">
        <w:rPr>
          <w:rFonts w:ascii="Arial" w:hAnsi="Arial" w:cs="Arial"/>
          <w:bCs/>
          <w:spacing w:val="-3"/>
          <w:sz w:val="22"/>
          <w:szCs w:val="22"/>
        </w:rPr>
        <w:t>amend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="00B94B69" w:rsidRPr="009A50DB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04159E" w:rsidRPr="0004159E">
        <w:rPr>
          <w:rFonts w:ascii="Arial" w:hAnsi="Arial" w:cs="Arial"/>
          <w:bCs/>
          <w:i/>
          <w:iCs/>
          <w:spacing w:val="-3"/>
          <w:sz w:val="22"/>
          <w:szCs w:val="22"/>
        </w:rPr>
        <w:t>Industrial Relations Act 2016</w:t>
      </w:r>
      <w:r w:rsidR="00B94B69" w:rsidRPr="009A50DB">
        <w:rPr>
          <w:rFonts w:ascii="Arial" w:hAnsi="Arial" w:cs="Arial"/>
          <w:bCs/>
          <w:spacing w:val="-3"/>
          <w:sz w:val="22"/>
          <w:szCs w:val="22"/>
        </w:rPr>
        <w:t xml:space="preserve"> to give effect to the </w:t>
      </w:r>
      <w:r w:rsidR="0004159E">
        <w:rPr>
          <w:rFonts w:ascii="Arial" w:hAnsi="Arial" w:cs="Arial"/>
          <w:bCs/>
          <w:spacing w:val="-3"/>
          <w:sz w:val="22"/>
          <w:szCs w:val="22"/>
        </w:rPr>
        <w:t xml:space="preserve">31 accepted </w:t>
      </w:r>
      <w:r w:rsidR="00B94B69" w:rsidRPr="009A50DB">
        <w:rPr>
          <w:rFonts w:ascii="Arial" w:hAnsi="Arial" w:cs="Arial"/>
          <w:bCs/>
          <w:spacing w:val="-3"/>
          <w:sz w:val="22"/>
          <w:szCs w:val="22"/>
        </w:rPr>
        <w:t xml:space="preserve">recommendations </w:t>
      </w:r>
      <w:r w:rsidR="00615ACE">
        <w:rPr>
          <w:rFonts w:ascii="Arial" w:hAnsi="Arial" w:cs="Arial"/>
          <w:bCs/>
          <w:spacing w:val="-3"/>
          <w:sz w:val="22"/>
          <w:szCs w:val="22"/>
        </w:rPr>
        <w:t>for legislative response including key measures to:</w:t>
      </w:r>
    </w:p>
    <w:p w14:paraId="0E30469D" w14:textId="77777777" w:rsidR="00615ACE" w:rsidRPr="00615ACE" w:rsidRDefault="00615ACE" w:rsidP="00F92B8B">
      <w:pPr>
        <w:pStyle w:val="ListParagraph"/>
        <w:widowControl w:val="0"/>
        <w:numPr>
          <w:ilvl w:val="0"/>
          <w:numId w:val="8"/>
        </w:numPr>
        <w:snapToGrid w:val="0"/>
        <w:spacing w:before="120" w:after="60"/>
        <w:contextualSpacing w:val="0"/>
        <w:jc w:val="both"/>
        <w:rPr>
          <w:rFonts w:ascii="Arial" w:hAnsi="Arial" w:cs="Arial"/>
          <w:sz w:val="22"/>
        </w:rPr>
      </w:pPr>
      <w:r w:rsidRPr="00615ACE">
        <w:rPr>
          <w:rFonts w:ascii="Arial" w:hAnsi="Arial" w:cs="Arial"/>
          <w:sz w:val="22"/>
        </w:rPr>
        <w:t xml:space="preserve">strengthen protections against workplace sexual harassment; </w:t>
      </w:r>
    </w:p>
    <w:p w14:paraId="6D119DF2" w14:textId="77777777" w:rsidR="00615ACE" w:rsidRPr="00615ACE" w:rsidRDefault="00615ACE" w:rsidP="00F92B8B">
      <w:pPr>
        <w:pStyle w:val="ListParagraph"/>
        <w:widowControl w:val="0"/>
        <w:numPr>
          <w:ilvl w:val="0"/>
          <w:numId w:val="8"/>
        </w:numPr>
        <w:snapToGrid w:val="0"/>
        <w:spacing w:before="120" w:after="60"/>
        <w:contextualSpacing w:val="0"/>
        <w:jc w:val="both"/>
        <w:rPr>
          <w:rFonts w:ascii="Arial" w:hAnsi="Arial" w:cs="Arial"/>
          <w:sz w:val="22"/>
        </w:rPr>
      </w:pPr>
      <w:r w:rsidRPr="00615ACE">
        <w:rPr>
          <w:rFonts w:ascii="Arial" w:hAnsi="Arial" w:cs="Arial"/>
          <w:iCs/>
          <w:sz w:val="22"/>
        </w:rPr>
        <w:t>promote the primacy of registered organisations by providing a scheme whereby industrial organisations can seek and provide representation rights for employees and employers</w:t>
      </w:r>
      <w:r w:rsidRPr="00615ACE">
        <w:rPr>
          <w:rFonts w:ascii="Arial" w:hAnsi="Arial" w:cs="Arial"/>
          <w:sz w:val="22"/>
        </w:rPr>
        <w:t xml:space="preserve">; </w:t>
      </w:r>
    </w:p>
    <w:p w14:paraId="57E52D7F" w14:textId="77777777" w:rsidR="00615ACE" w:rsidRPr="00615ACE" w:rsidRDefault="00615ACE" w:rsidP="00F92B8B">
      <w:pPr>
        <w:pStyle w:val="ListParagraph"/>
        <w:widowControl w:val="0"/>
        <w:numPr>
          <w:ilvl w:val="0"/>
          <w:numId w:val="8"/>
        </w:numPr>
        <w:snapToGrid w:val="0"/>
        <w:spacing w:before="120" w:after="60"/>
        <w:contextualSpacing w:val="0"/>
        <w:jc w:val="both"/>
        <w:rPr>
          <w:rFonts w:ascii="Arial" w:hAnsi="Arial" w:cs="Arial"/>
          <w:sz w:val="22"/>
        </w:rPr>
      </w:pPr>
      <w:r w:rsidRPr="00615ACE">
        <w:rPr>
          <w:rFonts w:ascii="Arial" w:hAnsi="Arial" w:cs="Arial"/>
          <w:sz w:val="22"/>
        </w:rPr>
        <w:t xml:space="preserve">ensure that employees covered by the IR Act have access to prevailing employment standards; </w:t>
      </w:r>
    </w:p>
    <w:p w14:paraId="0E0F4039" w14:textId="77777777" w:rsidR="00615ACE" w:rsidRPr="00615ACE" w:rsidRDefault="00615ACE" w:rsidP="00F92B8B">
      <w:pPr>
        <w:pStyle w:val="ListParagraph"/>
        <w:widowControl w:val="0"/>
        <w:numPr>
          <w:ilvl w:val="0"/>
          <w:numId w:val="8"/>
        </w:numPr>
        <w:snapToGrid w:val="0"/>
        <w:spacing w:before="120" w:after="60"/>
        <w:contextualSpacing w:val="0"/>
        <w:jc w:val="both"/>
        <w:rPr>
          <w:rFonts w:ascii="Arial" w:hAnsi="Arial" w:cs="Arial"/>
          <w:sz w:val="22"/>
        </w:rPr>
      </w:pPr>
      <w:r w:rsidRPr="00615ACE">
        <w:rPr>
          <w:rFonts w:ascii="Arial" w:hAnsi="Arial" w:cs="Arial"/>
          <w:sz w:val="22"/>
        </w:rPr>
        <w:t>introduce a jurisdiction to provide for minimum entitlements and conditions for independent courier drivers; and</w:t>
      </w:r>
    </w:p>
    <w:p w14:paraId="7A1F9170" w14:textId="77777777" w:rsidR="00615ACE" w:rsidRPr="00D76930" w:rsidRDefault="00615ACE" w:rsidP="00F92B8B">
      <w:pPr>
        <w:pStyle w:val="ListParagraph"/>
        <w:widowControl w:val="0"/>
        <w:numPr>
          <w:ilvl w:val="0"/>
          <w:numId w:val="8"/>
        </w:numPr>
        <w:snapToGrid w:val="0"/>
        <w:spacing w:before="120" w:after="120"/>
        <w:contextualSpacing w:val="0"/>
        <w:jc w:val="both"/>
      </w:pPr>
      <w:r w:rsidRPr="00615ACE">
        <w:rPr>
          <w:rFonts w:ascii="Arial" w:hAnsi="Arial" w:cs="Arial"/>
          <w:sz w:val="22"/>
        </w:rPr>
        <w:t>address redundant and superfluous provisions identified by the Review Report including historical Queensland Health (QH) overpayment provisions.</w:t>
      </w:r>
    </w:p>
    <w:p w14:paraId="2B7EAC80" w14:textId="790F0891" w:rsidR="00D875B9" w:rsidRPr="0004159E" w:rsidRDefault="00615ACE" w:rsidP="00F92B8B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36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In addition, the Bill also make</w:t>
      </w:r>
      <w:r w:rsidR="00274EB0">
        <w:rPr>
          <w:rFonts w:ascii="Arial" w:hAnsi="Arial" w:cs="Arial"/>
          <w:bCs/>
          <w:spacing w:val="-3"/>
          <w:sz w:val="22"/>
          <w:szCs w:val="22"/>
        </w:rPr>
        <w:t xml:space="preserve"> consequential and complementary </w:t>
      </w:r>
      <w:r w:rsidR="00274EB0" w:rsidRPr="00274EB0">
        <w:rPr>
          <w:rFonts w:ascii="Arial" w:hAnsi="Arial" w:cs="Arial"/>
          <w:bCs/>
          <w:spacing w:val="-3"/>
          <w:sz w:val="22"/>
          <w:szCs w:val="22"/>
        </w:rPr>
        <w:t xml:space="preserve">amendments to the </w:t>
      </w:r>
      <w:r w:rsidR="002C6D97" w:rsidRPr="002C6D97">
        <w:rPr>
          <w:rFonts w:ascii="Arial" w:hAnsi="Arial" w:cs="Arial"/>
          <w:bCs/>
          <w:i/>
          <w:iCs/>
          <w:spacing w:val="-3"/>
          <w:sz w:val="22"/>
          <w:szCs w:val="22"/>
        </w:rPr>
        <w:t>Associations Incorporation Act 1981</w:t>
      </w:r>
      <w:r w:rsidR="002C6D97">
        <w:rPr>
          <w:rFonts w:ascii="Arial" w:hAnsi="Arial" w:cs="Arial"/>
          <w:bCs/>
          <w:spacing w:val="-3"/>
          <w:sz w:val="22"/>
          <w:szCs w:val="22"/>
        </w:rPr>
        <w:t xml:space="preserve">, the </w:t>
      </w:r>
      <w:r w:rsidR="00274EB0" w:rsidRPr="00274EB0">
        <w:rPr>
          <w:rFonts w:ascii="Arial" w:hAnsi="Arial" w:cs="Arial"/>
          <w:bCs/>
          <w:i/>
          <w:iCs/>
          <w:spacing w:val="-3"/>
          <w:sz w:val="22"/>
          <w:szCs w:val="22"/>
        </w:rPr>
        <w:t>Anti-Discrimination Act 1991</w:t>
      </w:r>
      <w:r w:rsidR="00274EB0" w:rsidRPr="00274EB0">
        <w:rPr>
          <w:rFonts w:ascii="Arial" w:hAnsi="Arial" w:cs="Arial"/>
          <w:bCs/>
          <w:spacing w:val="-3"/>
          <w:sz w:val="22"/>
          <w:szCs w:val="22"/>
        </w:rPr>
        <w:t xml:space="preserve"> and the </w:t>
      </w:r>
      <w:r w:rsidR="00274EB0" w:rsidRPr="00274EB0">
        <w:rPr>
          <w:rFonts w:ascii="Arial" w:hAnsi="Arial" w:cs="Arial"/>
          <w:bCs/>
          <w:i/>
          <w:iCs/>
          <w:spacing w:val="-3"/>
          <w:sz w:val="22"/>
          <w:szCs w:val="22"/>
        </w:rPr>
        <w:t>Public Trustee Act 1978</w:t>
      </w:r>
      <w:r w:rsidR="00274EB0" w:rsidRPr="00274EB0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16E9E402" w14:textId="31F85CB7" w:rsidR="0004159E" w:rsidRDefault="0004159E" w:rsidP="00F92B8B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4159E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04159E">
        <w:rPr>
          <w:rFonts w:ascii="Arial" w:hAnsi="Arial" w:cs="Arial"/>
          <w:bCs/>
          <w:spacing w:val="-3"/>
          <w:sz w:val="22"/>
          <w:szCs w:val="22"/>
        </w:rPr>
        <w:t xml:space="preserve"> introduction of Industrial Relations and Other Legislation Amendment Bill 2022</w:t>
      </w:r>
      <w:r w:rsidR="00F92B8B">
        <w:rPr>
          <w:rFonts w:ascii="Arial" w:hAnsi="Arial" w:cs="Arial"/>
          <w:bCs/>
          <w:spacing w:val="-3"/>
          <w:sz w:val="22"/>
          <w:szCs w:val="22"/>
        </w:rPr>
        <w:t xml:space="preserve"> into the Legislative Assembly</w:t>
      </w:r>
      <w:r w:rsidRPr="0004159E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BF44372" w14:textId="239F95AF" w:rsidR="0004159E" w:rsidRPr="0004159E" w:rsidRDefault="0004159E" w:rsidP="00F92B8B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92B8B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Attachments</w:t>
      </w:r>
      <w:r w:rsidR="00F92B8B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7AF5F55E" w14:textId="32D639D0" w:rsidR="00864B3C" w:rsidRPr="00F92B8B" w:rsidRDefault="00DE718B" w:rsidP="00666B47">
      <w:pPr>
        <w:pStyle w:val="ListParagraph"/>
        <w:widowControl w:val="0"/>
        <w:numPr>
          <w:ilvl w:val="0"/>
          <w:numId w:val="8"/>
        </w:numPr>
        <w:snapToGrid w:val="0"/>
        <w:spacing w:before="12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1F1F86" w:rsidRPr="00666B47">
          <w:rPr>
            <w:rStyle w:val="Hyperlink"/>
            <w:rFonts w:ascii="Arial" w:hAnsi="Arial" w:cs="Arial"/>
            <w:sz w:val="22"/>
          </w:rPr>
          <w:t>Industrial</w:t>
        </w:r>
        <w:r w:rsidR="001F1F86" w:rsidRPr="00666B4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Relations </w:t>
        </w:r>
        <w:r w:rsidR="00274EB0" w:rsidRPr="00666B4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and Other Legislation </w:t>
        </w:r>
        <w:r w:rsidR="001F1F86" w:rsidRPr="00666B4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Amendment Bill 2022</w:t>
        </w:r>
      </w:hyperlink>
    </w:p>
    <w:p w14:paraId="0FCB17B3" w14:textId="2DB9F4F5" w:rsidR="00864B3C" w:rsidRPr="00666B47" w:rsidRDefault="00DE718B" w:rsidP="00666B47">
      <w:pPr>
        <w:pStyle w:val="ListParagraph"/>
        <w:widowControl w:val="0"/>
        <w:numPr>
          <w:ilvl w:val="0"/>
          <w:numId w:val="8"/>
        </w:numPr>
        <w:snapToGrid w:val="0"/>
        <w:spacing w:before="120"/>
        <w:contextualSpacing w:val="0"/>
        <w:jc w:val="both"/>
        <w:rPr>
          <w:rFonts w:ascii="Arial" w:hAnsi="Arial" w:cs="Arial"/>
          <w:sz w:val="22"/>
        </w:rPr>
      </w:pPr>
      <w:hyperlink r:id="rId11" w:history="1">
        <w:r w:rsidR="001F1F86" w:rsidRPr="00666B47">
          <w:rPr>
            <w:rStyle w:val="Hyperlink"/>
            <w:rFonts w:ascii="Arial" w:hAnsi="Arial" w:cs="Arial"/>
            <w:sz w:val="22"/>
          </w:rPr>
          <w:t>Explanatory Notes</w:t>
        </w:r>
      </w:hyperlink>
    </w:p>
    <w:p w14:paraId="0D901376" w14:textId="642F2EC4" w:rsidR="00732E22" w:rsidRPr="00666B47" w:rsidRDefault="00DE718B" w:rsidP="00666B47">
      <w:pPr>
        <w:pStyle w:val="ListParagraph"/>
        <w:widowControl w:val="0"/>
        <w:numPr>
          <w:ilvl w:val="0"/>
          <w:numId w:val="8"/>
        </w:numPr>
        <w:snapToGrid w:val="0"/>
        <w:spacing w:before="120"/>
        <w:contextualSpacing w:val="0"/>
        <w:jc w:val="both"/>
        <w:rPr>
          <w:rFonts w:ascii="Arial" w:hAnsi="Arial" w:cs="Arial"/>
          <w:sz w:val="22"/>
        </w:rPr>
      </w:pPr>
      <w:hyperlink r:id="rId12" w:history="1">
        <w:r w:rsidR="001F1F86" w:rsidRPr="00666B47">
          <w:rPr>
            <w:rStyle w:val="Hyperlink"/>
            <w:rFonts w:ascii="Arial" w:hAnsi="Arial" w:cs="Arial"/>
            <w:sz w:val="22"/>
          </w:rPr>
          <w:t>Human Rights Statement of Compatibility</w:t>
        </w:r>
      </w:hyperlink>
    </w:p>
    <w:sectPr w:rsidR="00732E22" w:rsidRPr="00666B47" w:rsidSect="00F92B8B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76BD2" w14:textId="77777777" w:rsidR="009E46A8" w:rsidRDefault="009E46A8" w:rsidP="00D6589B">
      <w:r>
        <w:separator/>
      </w:r>
    </w:p>
  </w:endnote>
  <w:endnote w:type="continuationSeparator" w:id="0">
    <w:p w14:paraId="29831267" w14:textId="77777777" w:rsidR="009E46A8" w:rsidRDefault="009E46A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6C4DF" w14:textId="77777777" w:rsidR="009E46A8" w:rsidRDefault="009E46A8" w:rsidP="00D6589B">
      <w:r>
        <w:separator/>
      </w:r>
    </w:p>
  </w:footnote>
  <w:footnote w:type="continuationSeparator" w:id="0">
    <w:p w14:paraId="27CD7797" w14:textId="77777777" w:rsidR="009E46A8" w:rsidRDefault="009E46A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59526" w14:textId="77777777" w:rsidR="00F92B8B" w:rsidRPr="00937A4A" w:rsidRDefault="00F92B8B" w:rsidP="00F92B8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AD7AED1" w14:textId="77777777" w:rsidR="00F92B8B" w:rsidRPr="00937A4A" w:rsidRDefault="00F92B8B" w:rsidP="00F92B8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F5A63DD" w14:textId="250074AF" w:rsidR="00F92B8B" w:rsidRPr="00937A4A" w:rsidRDefault="00F92B8B" w:rsidP="00F92B8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June 2022</w:t>
    </w:r>
  </w:p>
  <w:p w14:paraId="59B5EA41" w14:textId="3DBBFD41" w:rsidR="00F92B8B" w:rsidRDefault="00F92B8B" w:rsidP="00F92B8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744D33">
      <w:rPr>
        <w:rFonts w:ascii="Arial" w:hAnsi="Arial" w:cs="Arial"/>
        <w:b/>
        <w:sz w:val="22"/>
        <w:szCs w:val="22"/>
        <w:u w:val="single"/>
      </w:rPr>
      <w:t xml:space="preserve">Industrial Relations </w:t>
    </w:r>
    <w:r>
      <w:rPr>
        <w:rFonts w:ascii="Arial" w:hAnsi="Arial" w:cs="Arial"/>
        <w:b/>
        <w:sz w:val="22"/>
        <w:szCs w:val="22"/>
        <w:u w:val="single"/>
      </w:rPr>
      <w:t xml:space="preserve">and Other Legislation </w:t>
    </w:r>
    <w:r w:rsidRPr="00744D33">
      <w:rPr>
        <w:rFonts w:ascii="Arial" w:hAnsi="Arial" w:cs="Arial"/>
        <w:b/>
        <w:sz w:val="22"/>
        <w:szCs w:val="22"/>
        <w:u w:val="single"/>
      </w:rPr>
      <w:t>Amendment Bill 2022</w:t>
    </w:r>
  </w:p>
  <w:p w14:paraId="32E898B4" w14:textId="393711DF" w:rsidR="00F92B8B" w:rsidRDefault="00F92B8B" w:rsidP="00F92B8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Education, Minister for Industrial Relations and Minister for Racing</w:t>
    </w:r>
  </w:p>
  <w:p w14:paraId="20370A1C" w14:textId="77777777" w:rsidR="00F92B8B" w:rsidRDefault="00F92B8B" w:rsidP="00F92B8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462B0"/>
    <w:multiLevelType w:val="hybridMultilevel"/>
    <w:tmpl w:val="93048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E5A71"/>
    <w:multiLevelType w:val="hybridMultilevel"/>
    <w:tmpl w:val="DE1EB3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BB5AED"/>
    <w:multiLevelType w:val="hybridMultilevel"/>
    <w:tmpl w:val="E42890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806880"/>
    <w:multiLevelType w:val="hybridMultilevel"/>
    <w:tmpl w:val="9508D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466FDE"/>
    <w:multiLevelType w:val="hybridMultilevel"/>
    <w:tmpl w:val="DA0CA888"/>
    <w:lvl w:ilvl="0" w:tplc="0C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7DFD362A"/>
    <w:multiLevelType w:val="hybridMultilevel"/>
    <w:tmpl w:val="736094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76F87"/>
    <w:multiLevelType w:val="hybridMultilevel"/>
    <w:tmpl w:val="330CA3B0"/>
    <w:lvl w:ilvl="0" w:tplc="3D9E3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45024">
    <w:abstractNumId w:val="7"/>
  </w:num>
  <w:num w:numId="2" w16cid:durableId="1873151481">
    <w:abstractNumId w:val="4"/>
  </w:num>
  <w:num w:numId="3" w16cid:durableId="302933149">
    <w:abstractNumId w:val="6"/>
  </w:num>
  <w:num w:numId="4" w16cid:durableId="1624917477">
    <w:abstractNumId w:val="3"/>
  </w:num>
  <w:num w:numId="5" w16cid:durableId="535118791">
    <w:abstractNumId w:val="1"/>
  </w:num>
  <w:num w:numId="6" w16cid:durableId="850142042">
    <w:abstractNumId w:val="5"/>
  </w:num>
  <w:num w:numId="7" w16cid:durableId="1694990192">
    <w:abstractNumId w:val="0"/>
  </w:num>
  <w:num w:numId="8" w16cid:durableId="587271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9B"/>
    <w:rsid w:val="0004159E"/>
    <w:rsid w:val="00080F8F"/>
    <w:rsid w:val="000B5DFF"/>
    <w:rsid w:val="000F374F"/>
    <w:rsid w:val="00116486"/>
    <w:rsid w:val="00174117"/>
    <w:rsid w:val="00183318"/>
    <w:rsid w:val="001B0505"/>
    <w:rsid w:val="001F1F86"/>
    <w:rsid w:val="00225E50"/>
    <w:rsid w:val="00274EB0"/>
    <w:rsid w:val="00297545"/>
    <w:rsid w:val="002C6D97"/>
    <w:rsid w:val="00326F49"/>
    <w:rsid w:val="00355A70"/>
    <w:rsid w:val="00375F10"/>
    <w:rsid w:val="003C6B04"/>
    <w:rsid w:val="00482674"/>
    <w:rsid w:val="00501C66"/>
    <w:rsid w:val="00550873"/>
    <w:rsid w:val="00615ACE"/>
    <w:rsid w:val="00666B47"/>
    <w:rsid w:val="006E5375"/>
    <w:rsid w:val="00732E22"/>
    <w:rsid w:val="00744D33"/>
    <w:rsid w:val="00750018"/>
    <w:rsid w:val="00795F3F"/>
    <w:rsid w:val="007A309B"/>
    <w:rsid w:val="0083688D"/>
    <w:rsid w:val="00864B3C"/>
    <w:rsid w:val="008655D9"/>
    <w:rsid w:val="008A78E1"/>
    <w:rsid w:val="009521A8"/>
    <w:rsid w:val="00956D2D"/>
    <w:rsid w:val="00970F42"/>
    <w:rsid w:val="009753BE"/>
    <w:rsid w:val="009A50DB"/>
    <w:rsid w:val="009E315F"/>
    <w:rsid w:val="009E46A8"/>
    <w:rsid w:val="00A8479D"/>
    <w:rsid w:val="00A96356"/>
    <w:rsid w:val="00AC1D71"/>
    <w:rsid w:val="00AE40C7"/>
    <w:rsid w:val="00B1678A"/>
    <w:rsid w:val="00B325ED"/>
    <w:rsid w:val="00B727F7"/>
    <w:rsid w:val="00B94B69"/>
    <w:rsid w:val="00C75E67"/>
    <w:rsid w:val="00CA056F"/>
    <w:rsid w:val="00CB1501"/>
    <w:rsid w:val="00CD47ED"/>
    <w:rsid w:val="00CF0D8A"/>
    <w:rsid w:val="00D012AD"/>
    <w:rsid w:val="00D1125C"/>
    <w:rsid w:val="00D24C10"/>
    <w:rsid w:val="00D6589B"/>
    <w:rsid w:val="00D67DFF"/>
    <w:rsid w:val="00D77A39"/>
    <w:rsid w:val="00D875B9"/>
    <w:rsid w:val="00D91335"/>
    <w:rsid w:val="00DA308A"/>
    <w:rsid w:val="00DE718B"/>
    <w:rsid w:val="00EF5828"/>
    <w:rsid w:val="00F11612"/>
    <w:rsid w:val="00F642B2"/>
    <w:rsid w:val="00F92B8B"/>
    <w:rsid w:val="00FA45B6"/>
    <w:rsid w:val="00FA7ED7"/>
    <w:rsid w:val="00FD70A0"/>
    <w:rsid w:val="00FD7C86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1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List Paragraph1,List Paragraph11,Recommendation,Bullet point,Bullets,NAST Quote,L,CV text,Table text,F5 List Paragraph,Dot pt,List Paragraph111,Medium Grid 1 - Accent 21,Numbered Paragraph,List Paragraph2,NFP GP Bulleted List,列"/>
    <w:basedOn w:val="Normal"/>
    <w:link w:val="ListParagraphChar"/>
    <w:uiPriority w:val="34"/>
    <w:qFormat/>
    <w:rsid w:val="009521A8"/>
    <w:pPr>
      <w:ind w:left="720"/>
      <w:contextualSpacing/>
    </w:pPr>
  </w:style>
  <w:style w:type="character" w:customStyle="1" w:styleId="ListParagraphChar">
    <w:name w:val="List Paragraph Char"/>
    <w:aliases w:val="Bullet Char,List Paragraph1 Char,List Paragraph11 Char,Recommendation Char,Bullet point Char,Bullets Char,NAST Quote Char,L Char,CV text Char,Table text Char,F5 List Paragraph Char,Dot pt Char,List Paragraph111 Char,列 Char"/>
    <w:basedOn w:val="DefaultParagraphFont"/>
    <w:link w:val="ListParagraph"/>
    <w:uiPriority w:val="34"/>
    <w:locked/>
    <w:rsid w:val="00615ACE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864B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B3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2B8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66B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pcqld.sharepoint.com/sites/DPC-CABINETSERVICES/Shared%20Documents/General/Proactive%20Release/ToBeProcessed/2022/Jun/IROLAB/Attachments/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pcqld.sharepoint.com/sites/DPC-CABINETSERVICES/Shared%20Documents/General/Proactive%20Release/ToBeProcessed/2022/Jun/IROLAB/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pcqld.sharepoint.com/sites/DPC-CABINETSERVICES/Shared%20Documents/General/Proactive%20Release/ToBeProcessed/2022/Jun/IROLAB/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51248-C608-4E09-8710-00A508809F1F}">
  <ds:schemaRefs>
    <ds:schemaRef ds:uri="http://schemas.microsoft.com/office/2006/metadata/properties"/>
    <ds:schemaRef ds:uri="63e311de-a790-43ff-be63-577c26c7507c"/>
    <ds:schemaRef ds:uri="b8ed82f2-f7bd-423c-8698-5e132afe9245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22C8D0-28ED-43CE-BFE1-6ECBDF15D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4A4703-E609-48EB-BC10-08188566DD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336</Words>
  <Characters>2101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</vt:lpstr>
    </vt:vector>
  </TitlesOfParts>
  <Company/>
  <LinksUpToDate>false</LinksUpToDate>
  <CharactersWithSpaces>2439</CharactersWithSpaces>
  <SharedDoc>false</SharedDoc>
  <HyperlinkBase>https://www.cabinet.qld.gov.au/documents/2022/Jun/IROLAB/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</dc:title>
  <dc:subject/>
  <dc:creator/>
  <cp:keywords>release; summary; proactive</cp:keywords>
  <dc:description/>
  <cp:lastModifiedBy/>
  <cp:revision>7</cp:revision>
  <dcterms:created xsi:type="dcterms:W3CDTF">2022-06-10T08:12:00Z</dcterms:created>
  <dcterms:modified xsi:type="dcterms:W3CDTF">2024-09-26T21:49:00Z</dcterms:modified>
  <cp:category>Industrial_Relations,Legislation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-731068445</vt:i4>
  </property>
  <property fmtid="{D5CDD505-2E9C-101B-9397-08002B2CF9AE}" pid="3" name="_NewReviewCycle">
    <vt:lpwstr/>
  </property>
  <property fmtid="{D5CDD505-2E9C-101B-9397-08002B2CF9AE}" pid="4" name="_ReviewingToolsShownOnce">
    <vt:lpwstr/>
  </property>
  <property fmtid="{D5CDD505-2E9C-101B-9397-08002B2CF9AE}" pid="5" name="ContentTypeId">
    <vt:lpwstr>0x0101008ABC7B85FF322D4B8AE3B78A6C4BF8F24000B01F331305DBDA4EA7BFC2C4DFCA62E6</vt:lpwstr>
  </property>
  <property fmtid="{D5CDD505-2E9C-101B-9397-08002B2CF9AE}" pid="6" name="Business unit">
    <vt:lpwstr>132;#Office of the Deputy Director-General|38036b16-dc4b-43be-a9b9-0143662bcf3e</vt:lpwstr>
  </property>
  <property fmtid="{D5CDD505-2E9C-101B-9397-08002B2CF9AE}" pid="7" name="Landing page">
    <vt:lpwstr/>
  </property>
  <property fmtid="{D5CDD505-2E9C-101B-9397-08002B2CF9AE}" pid="8" name="DocumentType">
    <vt:lpwstr>Template</vt:lpwstr>
  </property>
  <property fmtid="{D5CDD505-2E9C-101B-9397-08002B2CF9AE}" pid="9" name="TaxKeyword">
    <vt:lpwstr>5079;#proactive|d0980ab1-1582-459d-ab15-675218f4f7f0;#5078;#summary|5b418927-b661-4ea8-8176-8b657ca68099;#5077;#release|ee86ad1d-d703-44b4-88ec-c93050ba56a2</vt:lpwstr>
  </property>
  <property fmtid="{D5CDD505-2E9C-101B-9397-08002B2CF9AE}" pid="10" name="WorkflowChangePath">
    <vt:lpwstr>05501e91-fc24-4040-845c-3275bb130aeb,3;</vt:lpwstr>
  </property>
  <property fmtid="{D5CDD505-2E9C-101B-9397-08002B2CF9AE}" pid="11" name="MediaServiceImageTags">
    <vt:lpwstr/>
  </property>
</Properties>
</file>